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E5808">
      <w:pPr>
        <w:pStyle w:val="2"/>
        <w:adjustRightInd w:val="0"/>
        <w:snapToGrid w:val="0"/>
        <w:spacing w:before="0" w:after="0" w:line="360" w:lineRule="auto"/>
        <w:outlineLvl w:val="9"/>
        <w:rPr>
          <w:rFonts w:hint="eastAsia" w:asciiTheme="minorEastAsia" w:hAnsiTheme="minorEastAsia" w:eastAsiaTheme="minorEastAsia" w:cstheme="minorEastAsia"/>
          <w:b w:val="0"/>
          <w:bCs w:val="0"/>
          <w:color w:val="000000"/>
          <w:kern w:val="0"/>
          <w:sz w:val="28"/>
          <w:szCs w:val="28"/>
          <w:lang w:bidi="ar"/>
        </w:rPr>
      </w:pPr>
      <w:r>
        <w:rPr>
          <w:rFonts w:hint="eastAsia" w:asciiTheme="minorEastAsia" w:hAnsiTheme="minorEastAsia" w:eastAsiaTheme="minorEastAsia" w:cstheme="minorEastAsia"/>
          <w:b w:val="0"/>
          <w:bCs w:val="0"/>
          <w:color w:val="000000"/>
          <w:kern w:val="0"/>
          <w:sz w:val="28"/>
          <w:szCs w:val="28"/>
          <w:lang w:bidi="ar"/>
        </w:rPr>
        <w:t>澳門國際碳排放權交易所交易會員服務協議</w:t>
      </w:r>
    </w:p>
    <w:p w14:paraId="7B4B932E">
      <w:pPr>
        <w:rPr>
          <w:rFonts w:hint="eastAsia" w:asciiTheme="minorEastAsia" w:hAnsiTheme="minorEastAsia" w:eastAsiaTheme="minorEastAsia" w:cstheme="minorEastAsia"/>
        </w:rPr>
      </w:pPr>
    </w:p>
    <w:p w14:paraId="7C80FA60">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甲方（機構客戶）名稱：</w:t>
      </w:r>
    </w:p>
    <w:p w14:paraId="41F661B2">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法定代表人姓名：                      法人機構代碼：</w:t>
      </w:r>
    </w:p>
    <w:p w14:paraId="6A047523">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E-mail：                              聯繫電話：</w:t>
      </w:r>
    </w:p>
    <w:p w14:paraId="61A6F434">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通訊地址：</w:t>
      </w:r>
    </w:p>
    <w:p w14:paraId="4E4AE20C">
      <w:pPr>
        <w:adjustRightInd w:val="0"/>
        <w:snapToGrid w:val="0"/>
        <w:spacing w:line="360" w:lineRule="auto"/>
        <w:rPr>
          <w:rFonts w:hint="eastAsia" w:asciiTheme="minorEastAsia" w:hAnsiTheme="minorEastAsia" w:eastAsiaTheme="minorEastAsia" w:cstheme="minorEastAsia"/>
          <w:bCs/>
          <w:sz w:val="24"/>
          <w:szCs w:val="30"/>
        </w:rPr>
      </w:pPr>
    </w:p>
    <w:p w14:paraId="460C1049">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乙方：澳門國際碳排放權交易所有限公司</w:t>
      </w:r>
    </w:p>
    <w:p w14:paraId="60427A4A">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法定代表人（行政管理機關成員）姓名： 黃鑫、陳立波</w:t>
      </w:r>
    </w:p>
    <w:p w14:paraId="310A28B6">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聯繫電話：(+853) 28956009</w:t>
      </w:r>
    </w:p>
    <w:p w14:paraId="458D7063">
      <w:pPr>
        <w:adjustRightInd w:val="0"/>
        <w:snapToGrid w:val="0"/>
        <w:spacing w:line="360" w:lineRule="auto"/>
        <w:rPr>
          <w:rFonts w:hint="eastAsia" w:asciiTheme="minorEastAsia" w:hAnsiTheme="minorEastAsia" w:eastAsiaTheme="minorEastAsia" w:cstheme="minorEastAsia"/>
          <w:bCs/>
          <w:sz w:val="24"/>
          <w:szCs w:val="30"/>
        </w:rPr>
      </w:pPr>
      <w:r>
        <w:rPr>
          <w:rFonts w:hint="eastAsia" w:asciiTheme="minorEastAsia" w:hAnsiTheme="minorEastAsia" w:eastAsiaTheme="minorEastAsia" w:cstheme="minorEastAsia"/>
          <w:bCs/>
          <w:sz w:val="24"/>
          <w:szCs w:val="30"/>
        </w:rPr>
        <w:t>通訊地址：澳門特別行政區澳門商業大馬路251A-301號AIA大廈17樓1701單元</w:t>
      </w:r>
    </w:p>
    <w:p w14:paraId="5DF29255">
      <w:pPr>
        <w:adjustRightInd w:val="0"/>
        <w:snapToGrid w:val="0"/>
        <w:spacing w:line="360" w:lineRule="auto"/>
        <w:ind w:firstLine="480" w:firstLineChars="200"/>
        <w:rPr>
          <w:rFonts w:hint="eastAsia" w:asciiTheme="minorEastAsia" w:hAnsiTheme="minorEastAsia" w:eastAsiaTheme="minorEastAsia" w:cstheme="minorEastAsia"/>
          <w:bCs/>
          <w:sz w:val="24"/>
        </w:rPr>
      </w:pPr>
    </w:p>
    <w:p w14:paraId="54698D8D">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根據中華人民共和國和澳門特別行政區(“澳門”)的有關法律法規和《MEX市場運行規則》以及其他相關文件，甲方在乙方平</w:t>
      </w:r>
      <w:r>
        <w:rPr>
          <w:rFonts w:hint="eastAsia" w:asciiTheme="minorEastAsia" w:hAnsiTheme="minorEastAsia" w:cstheme="minorEastAsia"/>
          <w:bCs/>
          <w:sz w:val="24"/>
          <w:lang w:val="en-US" w:eastAsia="zh-CN"/>
        </w:rPr>
        <w:t>台</w:t>
      </w:r>
      <w:r>
        <w:rPr>
          <w:rFonts w:hint="eastAsia" w:asciiTheme="minorEastAsia" w:hAnsiTheme="minorEastAsia" w:eastAsiaTheme="minorEastAsia" w:cstheme="minorEastAsia"/>
          <w:bCs/>
          <w:sz w:val="24"/>
        </w:rPr>
        <w:t>開展業務需成爲乙方會員，本着互利互惠的原則，甲、乙雙方</w:t>
      </w:r>
      <w:r>
        <w:rPr>
          <w:rFonts w:hint="eastAsia" w:asciiTheme="minorEastAsia" w:hAnsiTheme="minorEastAsia" w:cstheme="minorEastAsia"/>
          <w:bCs/>
          <w:sz w:val="24"/>
          <w:lang w:val="en-US" w:eastAsia="zh-CN"/>
        </w:rPr>
        <w:t>一致</w:t>
      </w:r>
      <w:r>
        <w:rPr>
          <w:rFonts w:hint="eastAsia" w:asciiTheme="minorEastAsia" w:hAnsiTheme="minorEastAsia" w:eastAsiaTheme="minorEastAsia" w:cstheme="minorEastAsia"/>
          <w:bCs/>
          <w:sz w:val="24"/>
        </w:rPr>
        <w:t>達成如下協議：</w:t>
      </w:r>
    </w:p>
    <w:p w14:paraId="4D3E07EA">
      <w:pPr>
        <w:adjustRightInd w:val="0"/>
        <w:snapToGrid w:val="0"/>
        <w:spacing w:line="360" w:lineRule="auto"/>
        <w:ind w:firstLine="480" w:firstLineChars="200"/>
        <w:rPr>
          <w:rFonts w:hint="eastAsia" w:asciiTheme="minorEastAsia" w:hAnsiTheme="minorEastAsia" w:eastAsiaTheme="minorEastAsia" w:cstheme="minorEastAsia"/>
          <w:bCs/>
          <w:sz w:val="24"/>
        </w:rPr>
      </w:pPr>
    </w:p>
    <w:p w14:paraId="6D2B936A">
      <w:pPr>
        <w:adjustRightInd w:val="0"/>
        <w:snapToGrid w:val="0"/>
        <w:spacing w:line="360" w:lineRule="auto"/>
        <w:rPr>
          <w:rFonts w:hint="eastAsia"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rPr>
        <w:t>一、服務事項</w:t>
      </w:r>
    </w:p>
    <w:p w14:paraId="5607EE52">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1、甲方獲得乙方會員資格；</w:t>
      </w:r>
    </w:p>
    <w:p w14:paraId="345F7E42">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2、甲方經乙方批準，可以在乙方交易場所內開展包括一般交易業務、競價業務及乙方認可的其他業務在內的部分或者全部業務。</w:t>
      </w:r>
    </w:p>
    <w:p w14:paraId="1B1E064D">
      <w:pPr>
        <w:adjustRightInd w:val="0"/>
        <w:snapToGrid w:val="0"/>
        <w:spacing w:line="360" w:lineRule="auto"/>
        <w:rPr>
          <w:rFonts w:hint="eastAsia"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rPr>
        <w:t>二、甲方的權利與義務</w:t>
      </w:r>
    </w:p>
    <w:p w14:paraId="6E0BAF37">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1、遵守中華人民共和國和澳門相關法律、法規、規章等規範性文件； </w:t>
      </w:r>
    </w:p>
    <w:p w14:paraId="40822F9C">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2、遵守《MEX市場運行規則》及其他相關細則和業務指引；</w:t>
      </w:r>
    </w:p>
    <w:p w14:paraId="67D1FC90">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3、甲方開展相關業務需符合乙方相關業務資質申請條件，並按乙方要求提交相關業務資質申請材料，獲乙方審核批準後，方可在乙方交易</w:t>
      </w:r>
      <w:r>
        <w:rPr>
          <w:rFonts w:hint="eastAsia" w:asciiTheme="minorEastAsia" w:hAnsiTheme="minorEastAsia" w:cstheme="minorEastAsia"/>
          <w:bCs/>
          <w:sz w:val="24"/>
          <w:lang w:val="en-US" w:eastAsia="zh-CN"/>
        </w:rPr>
        <w:t>系統</w:t>
      </w:r>
      <w:r>
        <w:rPr>
          <w:rFonts w:hint="eastAsia" w:asciiTheme="minorEastAsia" w:hAnsiTheme="minorEastAsia" w:eastAsiaTheme="minorEastAsia" w:cstheme="minorEastAsia"/>
          <w:bCs/>
          <w:sz w:val="24"/>
        </w:rPr>
        <w:t>開展相關業務。</w:t>
      </w:r>
    </w:p>
    <w:p w14:paraId="77F2F51A">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4、甲方開展交易業務需向乙方申請開設交易賬戶，並在乙方交易</w:t>
      </w:r>
      <w:r>
        <w:rPr>
          <w:rFonts w:hint="eastAsia" w:asciiTheme="minorEastAsia" w:hAnsiTheme="minorEastAsia" w:cstheme="minorEastAsia"/>
          <w:bCs/>
          <w:sz w:val="24"/>
          <w:lang w:val="en-US" w:eastAsia="zh-CN"/>
        </w:rPr>
        <w:t>系統</w:t>
      </w:r>
      <w:r>
        <w:rPr>
          <w:rFonts w:hint="eastAsia" w:asciiTheme="minorEastAsia" w:hAnsiTheme="minorEastAsia" w:eastAsiaTheme="minorEastAsia" w:cstheme="minorEastAsia"/>
          <w:bCs/>
          <w:sz w:val="24"/>
        </w:rPr>
        <w:t>綁定其在銀行開立的銀行賬戶，用於進行資金的轉入轉出操作；</w:t>
      </w:r>
    </w:p>
    <w:p w14:paraId="624D90AF">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5、甲方開展經紀業務需按乙方規定同乙方</w:t>
      </w:r>
      <w:r>
        <w:rPr>
          <w:rFonts w:hint="eastAsia" w:asciiTheme="minorEastAsia" w:hAnsiTheme="minorEastAsia" w:cstheme="minorEastAsia"/>
          <w:bCs/>
          <w:sz w:val="24"/>
          <w:lang w:val="en-US" w:eastAsia="zh-CN"/>
        </w:rPr>
        <w:t>簽訂</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MEX</w:t>
      </w:r>
      <w:r>
        <w:rPr>
          <w:rFonts w:hint="eastAsia" w:asciiTheme="minorEastAsia" w:hAnsiTheme="minorEastAsia" w:eastAsiaTheme="minorEastAsia" w:cstheme="minorEastAsia"/>
          <w:bCs/>
          <w:sz w:val="24"/>
        </w:rPr>
        <w:t>經紀業務合作協議》。</w:t>
      </w:r>
    </w:p>
    <w:p w14:paraId="389DB0F9">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6、甲方開展做市商業務，需按乙方規定同乙方</w:t>
      </w:r>
      <w:r>
        <w:rPr>
          <w:rFonts w:hint="eastAsia" w:asciiTheme="minorEastAsia" w:hAnsiTheme="minorEastAsia" w:cstheme="minorEastAsia"/>
          <w:bCs/>
          <w:sz w:val="24"/>
          <w:lang w:val="en-US" w:eastAsia="zh-CN"/>
        </w:rPr>
        <w:t>簽訂</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MEX</w:t>
      </w:r>
      <w:r>
        <w:rPr>
          <w:rFonts w:hint="eastAsia" w:asciiTheme="minorEastAsia" w:hAnsiTheme="minorEastAsia" w:eastAsiaTheme="minorEastAsia" w:cstheme="minorEastAsia"/>
          <w:bCs/>
          <w:sz w:val="24"/>
        </w:rPr>
        <w:t>做市商業務合作協議》。</w:t>
      </w:r>
    </w:p>
    <w:p w14:paraId="3C8919C2">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7、甲方可自願委托具有經紀業務資質的會員代理辦理入會及開戶手續；</w:t>
      </w:r>
    </w:p>
    <w:p w14:paraId="1C97DDF7">
      <w:pPr>
        <w:adjustRightInd w:val="0"/>
        <w:snapToGrid w:val="0"/>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三、乙方的責任與義務</w:t>
      </w:r>
    </w:p>
    <w:p w14:paraId="4BC04FA3">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1、組織甲方在乙方</w:t>
      </w:r>
      <w:r>
        <w:rPr>
          <w:rFonts w:hint="eastAsia" w:asciiTheme="minorEastAsia" w:hAnsiTheme="minorEastAsia" w:cstheme="minorEastAsia"/>
          <w:bCs/>
          <w:sz w:val="24"/>
          <w:lang w:val="en-US" w:eastAsia="zh-CN"/>
        </w:rPr>
        <w:t>平台</w:t>
      </w:r>
      <w:r>
        <w:rPr>
          <w:rFonts w:hint="eastAsia" w:asciiTheme="minorEastAsia" w:hAnsiTheme="minorEastAsia" w:eastAsiaTheme="minorEastAsia" w:cstheme="minorEastAsia"/>
          <w:bCs/>
          <w:sz w:val="24"/>
        </w:rPr>
        <w:t>開展相關業務；</w:t>
      </w:r>
    </w:p>
    <w:p w14:paraId="78D36295">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2、爲甲方提供業務信息和操作平</w:t>
      </w:r>
      <w:r>
        <w:rPr>
          <w:rFonts w:hint="eastAsia" w:asciiTheme="minorEastAsia" w:hAnsiTheme="minorEastAsia" w:cstheme="minorEastAsia"/>
          <w:bCs/>
          <w:sz w:val="24"/>
          <w:lang w:val="en-US" w:eastAsia="zh-CN"/>
        </w:rPr>
        <w:t>台</w:t>
      </w:r>
      <w:r>
        <w:rPr>
          <w:rFonts w:hint="eastAsia" w:asciiTheme="minorEastAsia" w:hAnsiTheme="minorEastAsia" w:eastAsiaTheme="minorEastAsia" w:cstheme="minorEastAsia"/>
          <w:bCs/>
          <w:sz w:val="24"/>
        </w:rPr>
        <w:t>交易規則；</w:t>
      </w:r>
    </w:p>
    <w:p w14:paraId="5EF8005D">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3、爲甲方提供相關交易信息的諮詢服務；</w:t>
      </w:r>
    </w:p>
    <w:p w14:paraId="3BF6C361">
      <w:pPr>
        <w:adjustRightInd w:val="0"/>
        <w:snapToGrid w:val="0"/>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四、費用</w:t>
      </w:r>
    </w:p>
    <w:p w14:paraId="0C176AE0">
      <w:pPr>
        <w:adjustRightInd w:val="0"/>
        <w:snapToGrid w:val="0"/>
        <w:spacing w:line="360" w:lineRule="auto"/>
        <w:ind w:firstLine="480" w:firstLineChars="200"/>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乙方會員須按規定繳納相應的入會費及業務資質年費至乙方指定賬戶，逾期未按期繳納相關費用的會員，乙方將暫停或終止會員資格及相應業務資質。入會費及業務資質年費收取標準以乙方官網公示的最新規定爲準。</w:t>
      </w:r>
    </w:p>
    <w:p w14:paraId="1F7DC938">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乙方交易會員收款賬戶：</w:t>
      </w:r>
    </w:p>
    <w:p w14:paraId="1F1F368A">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戶  名：澳門國際碳排放權交易所有限公司</w:t>
      </w:r>
    </w:p>
    <w:p w14:paraId="141B9B2B">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港元帳號：183800375160107</w:t>
      </w:r>
    </w:p>
    <w:p w14:paraId="01ADF18B">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開戶行： 中國銀行澳門分行</w:t>
      </w:r>
    </w:p>
    <w:p w14:paraId="0C37537E">
      <w:pPr>
        <w:adjustRightInd w:val="0"/>
        <w:snapToGrid w:val="0"/>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五、保密協議</w:t>
      </w:r>
    </w:p>
    <w:p w14:paraId="5CF2AD00">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甲、乙雙方均負有保守協議各方商業秘密的義務。保密內容包括但不限於本協議內容以及在準備、執行、監督本協議過程中獲得的其他協議方之商業信息。文件形式包括但不限於甲、乙雙方</w:t>
      </w:r>
      <w:r>
        <w:rPr>
          <w:rFonts w:hint="eastAsia" w:asciiTheme="minorEastAsia" w:hAnsiTheme="minorEastAsia" w:cstheme="minorEastAsia"/>
          <w:bCs/>
          <w:sz w:val="24"/>
          <w:lang w:val="en-US" w:eastAsia="zh-CN"/>
        </w:rPr>
        <w:t>簽署</w:t>
      </w:r>
      <w:r>
        <w:rPr>
          <w:rFonts w:hint="eastAsia" w:asciiTheme="minorEastAsia" w:hAnsiTheme="minorEastAsia" w:eastAsiaTheme="minorEastAsia" w:cstheme="minorEastAsia"/>
          <w:bCs/>
          <w:sz w:val="24"/>
        </w:rPr>
        <w:t>的各種協議、書信、傳真、電子文檔、會議記要、電子郵件、徵詢函、照片、影音資料等。</w:t>
      </w:r>
    </w:p>
    <w:p w14:paraId="250AEA2E">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保密期限在本協議終止生效或任何原因失效後仍然生效，且不會因爲本協議的全部或部分被宣告無效而失效。</w:t>
      </w:r>
    </w:p>
    <w:p w14:paraId="6B630EA2">
      <w:pPr>
        <w:adjustRightInd w:val="0"/>
        <w:snapToGrid w:val="0"/>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六、違約責任</w:t>
      </w:r>
    </w:p>
    <w:p w14:paraId="73CE4307">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具體違約責任按照《MEX市場運行規則》等規定處理。</w:t>
      </w:r>
    </w:p>
    <w:p w14:paraId="3BFCB9A9">
      <w:pPr>
        <w:adjustRightInd w:val="0"/>
        <w:snapToGrid w:val="0"/>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七、附則</w:t>
      </w:r>
    </w:p>
    <w:p w14:paraId="1CC5CE9D">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1、乙方根據《MEX市場運行規則》的規定對相關業務規則進行修訂，修訂</w:t>
      </w:r>
      <w:r>
        <w:rPr>
          <w:rFonts w:hint="eastAsia" w:asciiTheme="minorEastAsia" w:hAnsiTheme="minorEastAsia" w:cstheme="minorEastAsia"/>
          <w:bCs/>
          <w:sz w:val="24"/>
          <w:lang w:val="en-US" w:eastAsia="zh-CN"/>
        </w:rPr>
        <w:t>發生</w:t>
      </w:r>
      <w:r>
        <w:rPr>
          <w:rFonts w:hint="eastAsia" w:asciiTheme="minorEastAsia" w:hAnsiTheme="minorEastAsia" w:eastAsiaTheme="minorEastAsia" w:cstheme="minorEastAsia"/>
          <w:bCs/>
          <w:sz w:val="24"/>
        </w:rPr>
        <w:t>後應當公告提示，而無須知會甲方。甲方應當嚴格按照修訂後的業務規則執行；爲此，甲方有義務定期查閱乙方所公告之提示。</w:t>
      </w:r>
    </w:p>
    <w:p w14:paraId="38C0B767">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r>
        <w:rPr>
          <w:rFonts w:hint="eastAsia" w:asciiTheme="minorEastAsia" w:hAnsiTheme="minorEastAsia" w:cstheme="minorEastAsia"/>
          <w:bCs/>
          <w:sz w:val="24"/>
          <w:lang w:val="en-US" w:eastAsia="zh-CN"/>
        </w:rPr>
        <w:t>發生</w:t>
      </w:r>
      <w:r>
        <w:rPr>
          <w:rFonts w:hint="eastAsia" w:asciiTheme="minorEastAsia" w:hAnsiTheme="minorEastAsia" w:eastAsiaTheme="minorEastAsia" w:cstheme="minorEastAsia"/>
          <w:bCs/>
          <w:sz w:val="24"/>
        </w:rPr>
        <w:t>下列情形之一的，可以變更本協議：</w:t>
      </w:r>
    </w:p>
    <w:p w14:paraId="1A07A819">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w:t>
      </w:r>
      <w:r>
        <w:rPr>
          <w:rFonts w:hint="eastAsia" w:asciiTheme="minorEastAsia" w:hAnsiTheme="minorEastAsia" w:cstheme="minorEastAsia"/>
          <w:bCs/>
          <w:sz w:val="24"/>
          <w:lang w:eastAsia="zh-CN"/>
        </w:rPr>
        <w:t>發生</w:t>
      </w:r>
      <w:r>
        <w:rPr>
          <w:rFonts w:hint="eastAsia" w:asciiTheme="minorEastAsia" w:hAnsiTheme="minorEastAsia" w:eastAsiaTheme="minorEastAsia" w:cstheme="minorEastAsia"/>
          <w:bCs/>
          <w:sz w:val="24"/>
        </w:rPr>
        <w:t>不可抗力，協議必須變更；（2）甲、乙雙方同意變更的；（3）一方提出變更，另一方</w:t>
      </w:r>
      <w:r>
        <w:rPr>
          <w:rFonts w:hint="eastAsia" w:asciiTheme="minorEastAsia" w:hAnsiTheme="minorEastAsia" w:cstheme="minorEastAsia"/>
          <w:bCs/>
          <w:sz w:val="24"/>
          <w:lang w:eastAsia="zh-CN"/>
        </w:rPr>
        <w:t>在</w:t>
      </w:r>
      <w:r>
        <w:rPr>
          <w:rFonts w:hint="eastAsia" w:asciiTheme="minorEastAsia" w:hAnsiTheme="minorEastAsia" w:cstheme="minorEastAsia"/>
          <w:bCs/>
          <w:sz w:val="24"/>
          <w:lang w:val="en-US" w:eastAsia="zh-CN"/>
        </w:rPr>
        <w:t>10個工作日之內</w:t>
      </w:r>
      <w:r>
        <w:rPr>
          <w:rFonts w:hint="eastAsia" w:asciiTheme="minorEastAsia" w:hAnsiTheme="minorEastAsia" w:eastAsiaTheme="minorEastAsia" w:cstheme="minorEastAsia"/>
          <w:bCs/>
          <w:sz w:val="24"/>
        </w:rPr>
        <w:t>沒有提出</w:t>
      </w:r>
      <w:r>
        <w:rPr>
          <w:rFonts w:hint="eastAsia" w:asciiTheme="minorEastAsia" w:hAnsiTheme="minorEastAsia" w:cstheme="minorEastAsia"/>
          <w:bCs/>
          <w:sz w:val="24"/>
          <w:lang w:eastAsia="zh-CN"/>
        </w:rPr>
        <w:t>書面</w:t>
      </w:r>
      <w:r>
        <w:rPr>
          <w:rFonts w:hint="eastAsia" w:asciiTheme="minorEastAsia" w:hAnsiTheme="minorEastAsia" w:eastAsiaTheme="minorEastAsia" w:cstheme="minorEastAsia"/>
          <w:bCs/>
          <w:sz w:val="24"/>
        </w:rPr>
        <w:t>異議的；（4）乙方對相關業務規則進行修訂</w:t>
      </w:r>
      <w:r>
        <w:rPr>
          <w:rFonts w:hint="eastAsia" w:asciiTheme="minorEastAsia" w:hAnsiTheme="minorEastAsia" w:cstheme="minorEastAsia"/>
          <w:bCs/>
          <w:sz w:val="24"/>
          <w:lang w:eastAsia="zh-CN"/>
        </w:rPr>
        <w:t>導致</w:t>
      </w:r>
      <w:r>
        <w:rPr>
          <w:rFonts w:hint="eastAsia" w:asciiTheme="minorEastAsia" w:hAnsiTheme="minorEastAsia" w:eastAsiaTheme="minorEastAsia" w:cstheme="minorEastAsia"/>
          <w:bCs/>
          <w:sz w:val="24"/>
        </w:rPr>
        <w:t>本協議無法繼續履行的；（5）其他雙方認可的情況。</w:t>
      </w:r>
    </w:p>
    <w:p w14:paraId="7A7213A0">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r>
        <w:rPr>
          <w:rFonts w:hint="eastAsia" w:asciiTheme="minorEastAsia" w:hAnsiTheme="minorEastAsia" w:cstheme="minorEastAsia"/>
          <w:bCs/>
          <w:sz w:val="24"/>
          <w:lang w:eastAsia="zh-CN"/>
        </w:rPr>
        <w:t>發生</w:t>
      </w:r>
      <w:r>
        <w:rPr>
          <w:rFonts w:hint="eastAsia" w:asciiTheme="minorEastAsia" w:hAnsiTheme="minorEastAsia" w:eastAsiaTheme="minorEastAsia" w:cstheme="minorEastAsia"/>
          <w:bCs/>
          <w:sz w:val="24"/>
        </w:rPr>
        <w:t>下列情形之一的，可以提前終止本協議：</w:t>
      </w:r>
    </w:p>
    <w:p w14:paraId="57E53ED7">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w:t>
      </w:r>
      <w:r>
        <w:rPr>
          <w:rFonts w:hint="eastAsia" w:asciiTheme="minorEastAsia" w:hAnsiTheme="minorEastAsia" w:cstheme="minorEastAsia"/>
          <w:bCs/>
          <w:sz w:val="24"/>
          <w:lang w:eastAsia="zh-CN"/>
        </w:rPr>
        <w:t>發生</w:t>
      </w:r>
      <w:r>
        <w:rPr>
          <w:rFonts w:hint="eastAsia" w:asciiTheme="minorEastAsia" w:hAnsiTheme="minorEastAsia" w:eastAsiaTheme="minorEastAsia" w:cstheme="minorEastAsia"/>
          <w:bCs/>
          <w:sz w:val="24"/>
        </w:rPr>
        <w:t>不可抗力，協議必須提前終止；（2）甲、乙雙方同意提前終止的；（3）乙方對相關業務規則進行修訂</w:t>
      </w:r>
      <w:r>
        <w:rPr>
          <w:rFonts w:hint="eastAsia" w:asciiTheme="minorEastAsia" w:hAnsiTheme="minorEastAsia" w:cstheme="minorEastAsia"/>
          <w:bCs/>
          <w:sz w:val="24"/>
          <w:lang w:eastAsia="zh-CN"/>
        </w:rPr>
        <w:t>導致</w:t>
      </w:r>
      <w:r>
        <w:rPr>
          <w:rFonts w:hint="eastAsia" w:asciiTheme="minorEastAsia" w:hAnsiTheme="minorEastAsia" w:eastAsiaTheme="minorEastAsia" w:cstheme="minorEastAsia"/>
          <w:bCs/>
          <w:sz w:val="24"/>
        </w:rPr>
        <w:t>本協議無法繼續履行的；（4）其他雙方認可的情況。</w:t>
      </w:r>
    </w:p>
    <w:p w14:paraId="6E24A966">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4、本協議的任何變更或提前終止必須經甲、乙雙方協商</w:t>
      </w:r>
      <w:r>
        <w:rPr>
          <w:rFonts w:hint="eastAsia" w:asciiTheme="minorEastAsia" w:hAnsiTheme="minorEastAsia" w:eastAsiaTheme="minorEastAsia" w:cstheme="minorEastAsia"/>
          <w:bCs/>
          <w:sz w:val="24"/>
          <w:lang w:eastAsia="zh-CN"/>
        </w:rPr>
        <w:t>一致</w:t>
      </w:r>
      <w:r>
        <w:rPr>
          <w:rFonts w:hint="eastAsia" w:asciiTheme="minorEastAsia" w:hAnsiTheme="minorEastAsia" w:eastAsiaTheme="minorEastAsia" w:cstheme="minorEastAsia"/>
          <w:bCs/>
          <w:sz w:val="24"/>
        </w:rPr>
        <w:t>，並以</w:t>
      </w:r>
      <w:r>
        <w:rPr>
          <w:rFonts w:hint="eastAsia" w:asciiTheme="minorEastAsia" w:hAnsiTheme="minorEastAsia" w:eastAsiaTheme="minorEastAsia" w:cstheme="minorEastAsia"/>
          <w:bCs/>
          <w:sz w:val="24"/>
          <w:lang w:eastAsia="zh-CN"/>
        </w:rPr>
        <w:t>書面</w:t>
      </w:r>
      <w:r>
        <w:rPr>
          <w:rFonts w:hint="eastAsia" w:asciiTheme="minorEastAsia" w:hAnsiTheme="minorEastAsia" w:eastAsiaTheme="minorEastAsia" w:cstheme="minorEastAsia"/>
          <w:bCs/>
          <w:sz w:val="24"/>
        </w:rPr>
        <w:t>形式予以確定。</w:t>
      </w:r>
    </w:p>
    <w:p w14:paraId="730553D0">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5、甲、乙雙方的服務期限自雙方</w:t>
      </w:r>
      <w:r>
        <w:rPr>
          <w:rFonts w:hint="eastAsia" w:asciiTheme="minorEastAsia" w:hAnsiTheme="minorEastAsia" w:cstheme="minorEastAsia"/>
          <w:bCs/>
          <w:sz w:val="24"/>
          <w:lang w:eastAsia="zh-CN"/>
        </w:rPr>
        <w:t>簽訂</w:t>
      </w:r>
      <w:r>
        <w:rPr>
          <w:rFonts w:hint="eastAsia" w:asciiTheme="minorEastAsia" w:hAnsiTheme="minorEastAsia" w:eastAsiaTheme="minorEastAsia" w:cstheme="minorEastAsia"/>
          <w:bCs/>
          <w:sz w:val="24"/>
        </w:rPr>
        <w:t>該協議起生效，有效期一年，除</w:t>
      </w:r>
      <w:r>
        <w:rPr>
          <w:rFonts w:hint="eastAsia" w:asciiTheme="minorEastAsia" w:hAnsiTheme="minorEastAsia" w:cstheme="minorEastAsia"/>
          <w:bCs/>
          <w:sz w:val="24"/>
          <w:lang w:eastAsia="zh-CN"/>
        </w:rPr>
        <w:t>發生</w:t>
      </w:r>
      <w:r>
        <w:rPr>
          <w:rFonts w:hint="eastAsia" w:asciiTheme="minorEastAsia" w:hAnsiTheme="minorEastAsia" w:eastAsiaTheme="minorEastAsia" w:cstheme="minorEastAsia"/>
          <w:bCs/>
          <w:sz w:val="24"/>
        </w:rPr>
        <w:t>以上協議變更或提前終止情形，視爲甲乙</w:t>
      </w:r>
      <w:bookmarkStart w:id="0" w:name="_GoBack"/>
      <w:bookmarkEnd w:id="0"/>
      <w:r>
        <w:rPr>
          <w:rFonts w:hint="eastAsia" w:asciiTheme="minorEastAsia" w:hAnsiTheme="minorEastAsia" w:eastAsiaTheme="minorEastAsia" w:cstheme="minorEastAsia"/>
          <w:bCs/>
          <w:sz w:val="24"/>
        </w:rPr>
        <w:t>雙方自動續約本協議，續約有效期一年。</w:t>
      </w:r>
    </w:p>
    <w:p w14:paraId="2E001DF4">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6、本協議未儘事宜，適用澳門特別行政區現行法律，甲、乙雙方經友好協商，可</w:t>
      </w:r>
      <w:r>
        <w:rPr>
          <w:rFonts w:hint="eastAsia" w:asciiTheme="minorEastAsia" w:hAnsiTheme="minorEastAsia" w:cstheme="minorEastAsia"/>
          <w:bCs/>
          <w:sz w:val="24"/>
          <w:lang w:eastAsia="zh-CN"/>
        </w:rPr>
        <w:t>簽訂</w:t>
      </w:r>
      <w:r>
        <w:rPr>
          <w:rFonts w:hint="eastAsia" w:asciiTheme="minorEastAsia" w:hAnsiTheme="minorEastAsia" w:eastAsiaTheme="minorEastAsia" w:cstheme="minorEastAsia"/>
          <w:bCs/>
          <w:sz w:val="24"/>
        </w:rPr>
        <w:t>補充協議或修訂協議。上述補充協議或修訂協議爲本協議的組成部分，具有同等法律效力。</w:t>
      </w:r>
    </w:p>
    <w:p w14:paraId="53AA6032">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 凡對本協議有任何爭議，甲、乙雙方應先友好協商，協商不成者，澳門特別行政區法院具管轄權。</w:t>
      </w:r>
    </w:p>
    <w:p w14:paraId="6B1331A9">
      <w:pPr>
        <w:adjustRightInd w:val="0"/>
        <w:snapToGrid w:val="0"/>
        <w:spacing w:line="360" w:lineRule="auto"/>
        <w:rPr>
          <w:rFonts w:hint="eastAsia" w:asciiTheme="minorEastAsia" w:hAnsiTheme="minorEastAsia" w:eastAsiaTheme="minorEastAsia" w:cstheme="minorEastAsia"/>
          <w:bCs/>
          <w:sz w:val="24"/>
        </w:rPr>
      </w:pPr>
    </w:p>
    <w:tbl>
      <w:tblPr>
        <w:tblStyle w:val="3"/>
        <w:tblpPr w:leftFromText="180" w:rightFromText="180" w:vertAnchor="text" w:horzAnchor="margin" w:tblpX="-58" w:tblpY="445"/>
        <w:tblW w:w="8388" w:type="dxa"/>
        <w:tblInd w:w="0" w:type="dxa"/>
        <w:tblLayout w:type="fixed"/>
        <w:tblCellMar>
          <w:top w:w="0" w:type="dxa"/>
          <w:left w:w="28" w:type="dxa"/>
          <w:bottom w:w="0" w:type="dxa"/>
          <w:right w:w="28" w:type="dxa"/>
        </w:tblCellMar>
      </w:tblPr>
      <w:tblGrid>
        <w:gridCol w:w="4287"/>
        <w:gridCol w:w="4101"/>
      </w:tblGrid>
      <w:tr w14:paraId="54ACCB71">
        <w:tblPrEx>
          <w:tblCellMar>
            <w:top w:w="0" w:type="dxa"/>
            <w:left w:w="28" w:type="dxa"/>
            <w:bottom w:w="0" w:type="dxa"/>
            <w:right w:w="28" w:type="dxa"/>
          </w:tblCellMar>
        </w:tblPrEx>
        <w:trPr>
          <w:trHeight w:val="1769" w:hRule="atLeast"/>
        </w:trPr>
        <w:tc>
          <w:tcPr>
            <w:tcW w:w="4287" w:type="dxa"/>
          </w:tcPr>
          <w:p w14:paraId="045DCF03">
            <w:pPr>
              <w:adjustRightInd w:val="0"/>
              <w:snapToGrid w:val="0"/>
              <w:spacing w:line="360" w:lineRule="auto"/>
              <w:ind w:firstLine="482" w:firstLineChars="200"/>
              <w:rPr>
                <w:rFonts w:hint="eastAsia" w:asciiTheme="minorEastAsia" w:hAnsiTheme="minorEastAsia" w:eastAsiaTheme="minorEastAsia" w:cstheme="minorEastAsia"/>
                <w:b/>
                <w:bCs/>
                <w:kern w:val="28"/>
                <w:sz w:val="24"/>
              </w:rPr>
            </w:pPr>
            <w:r>
              <w:rPr>
                <w:rFonts w:hint="eastAsia" w:asciiTheme="minorEastAsia" w:hAnsiTheme="minorEastAsia" w:eastAsiaTheme="minorEastAsia" w:cstheme="minorEastAsia"/>
                <w:b/>
                <w:bCs/>
                <w:kern w:val="28"/>
                <w:sz w:val="24"/>
              </w:rPr>
              <w:t>甲方：</w:t>
            </w:r>
          </w:p>
          <w:p w14:paraId="66EEF664">
            <w:pPr>
              <w:adjustRightInd w:val="0"/>
              <w:snapToGrid w:val="0"/>
              <w:spacing w:line="360" w:lineRule="auto"/>
              <w:ind w:firstLine="240" w:firstLineChars="1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（蓋章）</w:t>
            </w:r>
          </w:p>
        </w:tc>
        <w:tc>
          <w:tcPr>
            <w:tcW w:w="4101" w:type="dxa"/>
          </w:tcPr>
          <w:p w14:paraId="55DA9ACC">
            <w:pPr>
              <w:adjustRightInd w:val="0"/>
              <w:snapToGrid w:val="0"/>
              <w:spacing w:line="360" w:lineRule="auto"/>
              <w:ind w:firstLine="482" w:firstLineChars="200"/>
              <w:rPr>
                <w:rFonts w:hint="eastAsia" w:asciiTheme="minorEastAsia" w:hAnsiTheme="minorEastAsia" w:eastAsiaTheme="minorEastAsia" w:cstheme="minorEastAsia"/>
                <w:b/>
                <w:bCs/>
                <w:kern w:val="28"/>
                <w:sz w:val="24"/>
              </w:rPr>
            </w:pPr>
            <w:r>
              <w:rPr>
                <w:rFonts w:hint="eastAsia" w:asciiTheme="minorEastAsia" w:hAnsiTheme="minorEastAsia" w:eastAsiaTheme="minorEastAsia" w:cstheme="minorEastAsia"/>
                <w:b/>
                <w:bCs/>
                <w:kern w:val="28"/>
                <w:sz w:val="24"/>
              </w:rPr>
              <w:t>乙方：澳門國際碳排放權交易所有限公司</w:t>
            </w:r>
          </w:p>
          <w:p w14:paraId="1BB4580A">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（蓋章）</w:t>
            </w:r>
          </w:p>
        </w:tc>
      </w:tr>
      <w:tr w14:paraId="2BF17398">
        <w:tblPrEx>
          <w:tblCellMar>
            <w:top w:w="0" w:type="dxa"/>
            <w:left w:w="28" w:type="dxa"/>
            <w:bottom w:w="0" w:type="dxa"/>
            <w:right w:w="28" w:type="dxa"/>
          </w:tblCellMar>
        </w:tblPrEx>
        <w:trPr>
          <w:trHeight w:val="1485" w:hRule="atLeast"/>
        </w:trPr>
        <w:tc>
          <w:tcPr>
            <w:tcW w:w="4287" w:type="dxa"/>
          </w:tcPr>
          <w:p w14:paraId="2142FEA3">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p>
          <w:p w14:paraId="05F3914B">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法定代表人</w:t>
            </w:r>
          </w:p>
          <w:p w14:paraId="0D951AB5">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或授權代理人（機構客戶適用）</w:t>
            </w:r>
          </w:p>
          <w:p w14:paraId="0F03ECD1">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（簽字或蓋章）：</w:t>
            </w:r>
          </w:p>
          <w:p w14:paraId="431362A7">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 xml:space="preserve">    年   月   日</w:t>
            </w:r>
          </w:p>
        </w:tc>
        <w:tc>
          <w:tcPr>
            <w:tcW w:w="4101" w:type="dxa"/>
          </w:tcPr>
          <w:p w14:paraId="23210624">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p>
          <w:p w14:paraId="00588840">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法定代表人（行政管理機關成員）</w:t>
            </w:r>
          </w:p>
          <w:p w14:paraId="38EBF63E">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或授權代理人</w:t>
            </w:r>
          </w:p>
          <w:p w14:paraId="7A9DCE48">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（簽字或蓋章）：</w:t>
            </w:r>
          </w:p>
          <w:p w14:paraId="6B5CA6CC">
            <w:pPr>
              <w:adjustRightInd w:val="0"/>
              <w:snapToGrid w:val="0"/>
              <w:spacing w:line="360" w:lineRule="auto"/>
              <w:ind w:firstLine="480" w:firstLineChars="200"/>
              <w:rPr>
                <w:rFonts w:hint="eastAsia" w:asciiTheme="minorEastAsia" w:hAnsiTheme="minorEastAsia" w:eastAsiaTheme="minorEastAsia" w:cstheme="minorEastAsia"/>
                <w:bCs/>
                <w:kern w:val="28"/>
                <w:sz w:val="24"/>
              </w:rPr>
            </w:pPr>
            <w:r>
              <w:rPr>
                <w:rFonts w:hint="eastAsia" w:asciiTheme="minorEastAsia" w:hAnsiTheme="minorEastAsia" w:eastAsiaTheme="minorEastAsia" w:cstheme="minorEastAsia"/>
                <w:bCs/>
                <w:kern w:val="28"/>
                <w:sz w:val="24"/>
              </w:rPr>
              <w:t xml:space="preserve">    年   月   日</w:t>
            </w:r>
          </w:p>
        </w:tc>
      </w:tr>
    </w:tbl>
    <w:p w14:paraId="254BBA1D">
      <w:pPr>
        <w:adjustRightInd w:val="0"/>
        <w:snapToGrid w:val="0"/>
        <w:spacing w:line="360" w:lineRule="auto"/>
        <w:rPr>
          <w:rFonts w:hint="eastAsia" w:asciiTheme="minorEastAsia" w:hAnsiTheme="minorEastAsia" w:eastAsiaTheme="minorEastAsia" w:cstheme="minorEastAsia"/>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C13C1"/>
    <w:rsid w:val="05E82BAF"/>
    <w:rsid w:val="149F3436"/>
    <w:rsid w:val="216A315E"/>
    <w:rsid w:val="265C0B15"/>
    <w:rsid w:val="272A3C08"/>
    <w:rsid w:val="2EDC13C1"/>
    <w:rsid w:val="321C4287"/>
    <w:rsid w:val="3EB57C17"/>
    <w:rsid w:val="466427DB"/>
    <w:rsid w:val="5245654B"/>
    <w:rsid w:val="55BF2D62"/>
    <w:rsid w:val="5C863A15"/>
    <w:rsid w:val="5ECB7D1D"/>
    <w:rsid w:val="62D54445"/>
    <w:rsid w:val="62F835B8"/>
    <w:rsid w:val="75F3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1747</Words>
  <Characters>1805</Characters>
  <Lines>0</Lines>
  <Paragraphs>0</Paragraphs>
  <TotalTime>2</TotalTime>
  <ScaleCrop>false</ScaleCrop>
  <LinksUpToDate>false</LinksUpToDate>
  <CharactersWithSpaces>1884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2025-07-08T08:47:00Z</dcterms:created>
  <dc:creator>LSR</dc:creator>
  <cp:lastModifiedBy>郑伟强</cp:lastModifiedBy>
  <dcterms:modified xsi:type="dcterms:W3CDTF">2025-09-02T06:09:21Z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51FEA086CB694022A27401B844511D37_13</vt:lpwstr>
  </property>
  <property fmtid="{D5CDD505-2E9C-101B-9397-08002B2CF9AE}" pid="4" name="KSOTemplateDocerSaveRecord">
    <vt:lpwstr>eyJoZGlkIjoiMzEwNTM5NzYwMDRjMzkwZTVkZjY2ODkwMGIxNGU0OTUiLCJ1c2VySWQiOiI0Mzc3MDc3MjIifQ==</vt:lpwstr>
  </property>
</Properties>
</file>